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 xml:space="preserve">12bis                                 </w:t>
      </w:r>
      <w:bookmarkStart w:id="4" w:name="_GoBack"/>
      <w:bookmarkEnd w:id="4"/>
      <w:r>
        <w:rPr>
          <w:rFonts w:hint="eastAsia" w:ascii="Arial" w:hAnsi="Arial" w:cs="Arial"/>
          <w:b/>
          <w:sz w:val="24"/>
          <w:szCs w:val="24"/>
          <w:lang w:val="en-US" w:eastAsia="zh-CN"/>
        </w:rPr>
        <w:t>R4-2416343</w:t>
      </w:r>
    </w:p>
    <w:bookmarkEnd w:id="2"/>
    <w:p>
      <w:pPr>
        <w:widowControl w:val="0"/>
        <w:tabs>
          <w:tab w:val="right" w:pos="10440"/>
          <w:tab w:val="right" w:pos="13323"/>
        </w:tabs>
        <w:spacing w:beforeLines="0" w:afterLines="0" w:line="240" w:lineRule="auto"/>
        <w:jc w:val="both"/>
        <w:outlineLvl w:val="0"/>
        <w:rPr>
          <w:rFonts w:ascii="Arial" w:hAnsi="Arial" w:eastAsia="宋体" w:cs="Times New Roman"/>
          <w:b/>
          <w:kern w:val="2"/>
          <w:sz w:val="24"/>
          <w:highlight w:val="none"/>
          <w:lang w:val="pt-BR" w:eastAsia="zh-CN" w:bidi="ar-SA"/>
        </w:rPr>
      </w:pPr>
      <w:r>
        <w:rPr>
          <w:rFonts w:hint="eastAsia" w:ascii="Arial" w:hAnsi="Arial" w:cs="Arial"/>
          <w:b/>
          <w:kern w:val="2"/>
          <w:sz w:val="24"/>
          <w:szCs w:val="24"/>
          <w:lang w:val="en-US" w:eastAsia="zh-CN" w:bidi="ar-SA"/>
        </w:rPr>
        <w:t>Hefei</w:t>
      </w:r>
      <w:r>
        <w:rPr>
          <w:rFonts w:hint="eastAsia" w:ascii="Arial" w:hAnsi="Arial" w:eastAsia="宋体" w:cs="Arial"/>
          <w:b/>
          <w:kern w:val="2"/>
          <w:sz w:val="24"/>
          <w:szCs w:val="24"/>
          <w:lang w:val="en-US" w:eastAsia="zh-CN" w:bidi="ar-SA"/>
        </w:rPr>
        <w:t xml:space="preserve">, </w:t>
      </w:r>
      <w:r>
        <w:rPr>
          <w:rFonts w:hint="eastAsia" w:ascii="Arial" w:hAnsi="Arial" w:cs="Arial"/>
          <w:b/>
          <w:kern w:val="2"/>
          <w:sz w:val="24"/>
          <w:szCs w:val="24"/>
          <w:lang w:val="en-US" w:eastAsia="zh-CN" w:bidi="ar-SA"/>
        </w:rPr>
        <w:t>China</w:t>
      </w:r>
      <w:r>
        <w:rPr>
          <w:rFonts w:hint="eastAsia" w:ascii="Arial" w:hAnsi="Arial" w:eastAsia="宋体" w:cs="Arial"/>
          <w:b/>
          <w:kern w:val="2"/>
          <w:sz w:val="24"/>
          <w:szCs w:val="24"/>
          <w:lang w:val="en-US" w:eastAsia="zh-CN" w:bidi="ar-SA"/>
        </w:rPr>
        <w:t>, 1</w:t>
      </w:r>
      <w:r>
        <w:rPr>
          <w:rFonts w:hint="eastAsia" w:ascii="Arial" w:hAnsi="Arial" w:cs="Arial"/>
          <w:b/>
          <w:kern w:val="2"/>
          <w:sz w:val="24"/>
          <w:szCs w:val="24"/>
          <w:lang w:val="en-US" w:eastAsia="zh-CN" w:bidi="ar-SA"/>
        </w:rPr>
        <w:t>4</w:t>
      </w:r>
      <w:r>
        <w:rPr>
          <w:rFonts w:hint="eastAsia" w:ascii="Arial" w:hAnsi="Arial" w:eastAsia="宋体" w:cs="Arial"/>
          <w:b/>
          <w:kern w:val="2"/>
          <w:sz w:val="24"/>
          <w:szCs w:val="24"/>
          <w:lang w:val="en-US" w:eastAsia="zh-CN" w:bidi="ar-SA"/>
        </w:rPr>
        <w:t xml:space="preserve"> – </w:t>
      </w:r>
      <w:r>
        <w:rPr>
          <w:rFonts w:hint="eastAsia" w:ascii="Arial" w:hAnsi="Arial" w:cs="Arial"/>
          <w:b/>
          <w:kern w:val="2"/>
          <w:sz w:val="24"/>
          <w:szCs w:val="24"/>
          <w:lang w:val="en-US" w:eastAsia="zh-CN" w:bidi="ar-SA"/>
        </w:rPr>
        <w:t>18</w:t>
      </w:r>
      <w:r>
        <w:rPr>
          <w:rFonts w:hint="eastAsia" w:ascii="Arial" w:hAnsi="Arial" w:eastAsia="宋体" w:cs="Arial"/>
          <w:b/>
          <w:kern w:val="2"/>
          <w:sz w:val="24"/>
          <w:szCs w:val="24"/>
          <w:lang w:val="en-US" w:eastAsia="zh-CN" w:bidi="ar-SA"/>
        </w:rPr>
        <w:t xml:space="preserve"> </w:t>
      </w:r>
      <w:r>
        <w:rPr>
          <w:rFonts w:hint="eastAsia" w:ascii="Arial" w:hAnsi="Arial" w:cs="Arial"/>
          <w:b/>
          <w:kern w:val="2"/>
          <w:sz w:val="24"/>
          <w:szCs w:val="24"/>
          <w:lang w:val="en-US" w:eastAsia="zh-CN" w:bidi="ar-SA"/>
        </w:rPr>
        <w:t>October</w:t>
      </w:r>
      <w:r>
        <w:rPr>
          <w:rFonts w:hint="eastAsia" w:ascii="Arial" w:hAnsi="Arial" w:eastAsia="宋体" w:cs="Arial"/>
          <w:b/>
          <w:kern w:val="2"/>
          <w:sz w:val="24"/>
          <w:szCs w:val="24"/>
          <w:lang w:val="en-US" w:eastAsia="zh-CN" w:bidi="ar-SA"/>
        </w:rPr>
        <w:t>, 2024</w:t>
      </w: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spatial channel model for demodulation performance requirements</w:t>
      </w:r>
    </w:p>
    <w:p>
      <w:pPr>
        <w:widowControl w:val="0"/>
        <w:tabs>
          <w:tab w:val="left" w:pos="1985"/>
        </w:tabs>
        <w:spacing w:before="120" w:after="120"/>
        <w:outlineLvl w:val="0"/>
        <w:rPr>
          <w:rStyle w:val="59"/>
          <w:rFonts w:hint="default" w:eastAsia="宋体"/>
          <w:b/>
          <w:lang w:val="en-US" w:eastAsia="zh-CN"/>
        </w:rPr>
      </w:pPr>
      <w:r>
        <w:rPr>
          <w:rFonts w:ascii="Arial" w:hAnsi="Arial"/>
          <w:b/>
          <w:sz w:val="24"/>
        </w:rPr>
        <w:t xml:space="preserve">Source: </w:t>
      </w:r>
      <w:r>
        <w:rPr>
          <w:rFonts w:ascii="Arial" w:hAnsi="Arial"/>
          <w:b/>
          <w:sz w:val="24"/>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6.14.2</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rFonts w:hint="eastAsia"/>
          <w:szCs w:val="22"/>
          <w:lang w:val="en-US" w:eastAsia="zh-CN"/>
        </w:rPr>
      </w:pPr>
      <w:r>
        <w:rPr>
          <w:rFonts w:hint="eastAsia"/>
          <w:szCs w:val="22"/>
          <w:lang w:val="en-US" w:eastAsia="zh-CN"/>
        </w:rPr>
        <w:t>In RAN #104 meeting, the new WID of study on spatial channel model for demodulation performance was approved in [1], wherein the study item includes the following objectives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val="0"/>
              <w:numPr>
                <w:ilvl w:val="0"/>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Study practical spatial channel modelling methodology for both SU- and MU-MIMO demodulation requirements and CSI reporting requirements:</w:t>
            </w:r>
          </w:p>
          <w:p>
            <w:pPr>
              <w:pStyle w:val="33"/>
              <w:keepNext w:val="0"/>
              <w:keepLines w:val="0"/>
              <w:widowControl w:val="0"/>
              <w:numPr>
                <w:ilvl w:val="1"/>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Identify the limitations of the current (i.e. up to and including Release 18) channel models and corresponding scenarios and how they relate to UE MIMO performance</w:t>
            </w:r>
          </w:p>
          <w:p>
            <w:pPr>
              <w:pStyle w:val="33"/>
              <w:keepNext w:val="0"/>
              <w:keepLines w:val="0"/>
              <w:widowControl w:val="0"/>
              <w:numPr>
                <w:ilvl w:val="1"/>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Consider both Clustered Delay Line (CDL)-based and TDL-based channel modelling approaches</w:t>
            </w:r>
          </w:p>
          <w:p>
            <w:pPr>
              <w:pStyle w:val="33"/>
              <w:keepNext w:val="0"/>
              <w:keepLines w:val="0"/>
              <w:widowControl w:val="0"/>
              <w:numPr>
                <w:ilvl w:val="2"/>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For CDL-based channel modelling, use the tuned repeatable spatial channel model of TR38.827 as the starting point and identify any necessary changes.</w:t>
            </w:r>
          </w:p>
          <w:p>
            <w:pPr>
              <w:pStyle w:val="33"/>
              <w:keepNext w:val="0"/>
              <w:keepLines w:val="0"/>
              <w:widowControl w:val="0"/>
              <w:numPr>
                <w:ilvl w:val="1"/>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Study and verify test methodology feasibility including test complexity and achievable results uncertainty. The test complexity shall not be significantly increased.</w:t>
            </w:r>
          </w:p>
          <w:p>
            <w:pPr>
              <w:pStyle w:val="33"/>
              <w:keepNext w:val="0"/>
              <w:keepLines w:val="0"/>
              <w:widowControl w:val="0"/>
              <w:numPr>
                <w:ilvl w:val="1"/>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szCs w:val="22"/>
                <w:vertAlign w:val="baseline"/>
                <w:lang w:val="en-US" w:eastAsia="zh-CN"/>
              </w:rPr>
            </w:pPr>
            <w:r>
              <w:rPr>
                <w:rFonts w:hint="default" w:eastAsia="Yu Mincho"/>
                <w:sz w:val="21"/>
                <w:szCs w:val="21"/>
                <w:lang w:eastAsia="zh-CN" w:bidi="hi-IN"/>
              </w:rPr>
              <w:t>The methodology shall include both FR1 (conducted) and FR2 (wireless cable), with first priority for FR1.</w:t>
            </w:r>
          </w:p>
        </w:tc>
      </w:tr>
    </w:tbl>
    <w:p>
      <w:pPr>
        <w:spacing w:before="120" w:after="120"/>
        <w:rPr>
          <w:rFonts w:hint="default"/>
          <w:lang w:val="en-US" w:eastAsia="zh-CN"/>
        </w:rPr>
      </w:pPr>
      <w:r>
        <w:rPr>
          <w:rFonts w:hint="eastAsia"/>
          <w:lang w:val="en-US" w:eastAsia="zh-CN"/>
        </w:rPr>
        <w:t>In this contribution, we give some initial discussion on the practical spatial channel modelling methodology and other analysis based on the last meeting conclusion [2].</w:t>
      </w:r>
    </w:p>
    <w:p>
      <w:pPr>
        <w:widowControl w:val="0"/>
        <w:pBdr>
          <w:top w:val="single" w:color="auto" w:sz="12" w:space="3"/>
        </w:pBdr>
        <w:spacing w:beforeLines="0" w:afterLines="0"/>
        <w:jc w:val="left"/>
        <w:outlineLvl w:val="0"/>
        <w:rPr>
          <w:rFonts w:hint="default"/>
          <w:b/>
          <w:bCs/>
          <w:i/>
          <w:iCs/>
          <w:szCs w:val="21"/>
          <w:lang w:val="en-US" w:eastAsia="zh-CN"/>
        </w:rPr>
      </w:pPr>
      <w:r>
        <w:rPr>
          <w:rFonts w:hint="eastAsia"/>
          <w:b/>
          <w:kern w:val="0"/>
          <w:sz w:val="24"/>
          <w:szCs w:val="24"/>
        </w:rPr>
        <w:t xml:space="preserve">2 </w:t>
      </w:r>
      <w:r>
        <w:rPr>
          <w:b/>
          <w:kern w:val="0"/>
          <w:sz w:val="24"/>
          <w:szCs w:val="24"/>
        </w:rPr>
        <w:t>Discussion</w:t>
      </w:r>
    </w:p>
    <w:p>
      <w:pPr>
        <w:spacing w:before="120" w:after="120"/>
        <w:rPr>
          <w:rFonts w:hint="eastAsia"/>
          <w:lang w:val="en-US" w:eastAsia="zh-CN"/>
        </w:rPr>
      </w:pPr>
      <w:r>
        <w:rPr>
          <w:rFonts w:hint="eastAsia"/>
          <w:lang w:val="en-US" w:eastAsia="zh-CN"/>
        </w:rPr>
        <w:t>During the last meeting, RAN4 discussed how to construct the SCM channel model and some simulation cases. Regarding the construction of the SCM channel model, there are essentially three approaches, CDL channel model based on the TR 38.827, extending current TDL channel model and TX-RX beam steering approach, and the simulation scenarios predominantly revolve whether MU-MIMO test case needs to be considered and the selection of current TDL channel model.</w:t>
      </w:r>
    </w:p>
    <w:p>
      <w:pPr>
        <w:spacing w:before="120" w:after="120"/>
        <w:rPr>
          <w:rFonts w:hint="default"/>
          <w:lang w:val="en-US" w:eastAsia="zh-CN"/>
        </w:rPr>
      </w:pPr>
      <w:r>
        <w:rPr>
          <w:rFonts w:hint="eastAsia"/>
          <w:lang w:val="en-US" w:eastAsia="zh-CN"/>
        </w:rPr>
        <w:t>Currently, in RAN4 demod testing, SU-MIMO and MU-MIMO are the primary scenarios being tested. RAN4 has researched numerous test cases related to these two systems, such as interference cancellation and SU-MIMO with multiple antennas. Meanwhile, based on feedback from operators, MU-MIMO is a very typical scenario in practical network scheduling. Concerning the SCM channel model currently studied by RAN4, our motivation is to verify that spatial channel model posses spatial gains over TDL channel model, which different layers show various performance among one code word or two code words. From a practical deployment perspective, the scenario for MU-MIMO is vert necessary. Meanwhile, in the WID, it is explicitly stated that RAN4 also needs to study the demodulation requirements for MU-MIMO.</w:t>
      </w:r>
    </w:p>
    <w:p>
      <w:pPr>
        <w:spacing w:before="120" w:after="120"/>
        <w:rPr>
          <w:rFonts w:hint="eastAsia"/>
          <w:lang w:val="en-US" w:eastAsia="zh-CN"/>
        </w:rPr>
      </w:pPr>
      <w:r>
        <w:rPr>
          <w:rFonts w:hint="eastAsia"/>
          <w:lang w:val="en-US" w:eastAsia="zh-CN"/>
        </w:rPr>
        <w:t>During the last discussion period, we heard some comments indicating that the MU-MIMO scenario is ralatively complex due to factors requiring consideration such as precoding and the processing of multiple co-schedule UEs. On the other hand, the current RAN4 definition for MU-MIMO test cases only include 2 and 4 receiver antennas, as well as the number of co-schedule UE being 1. For spatial channel model, we need to consider multi-layer and multiple code word scheduling scenarios. Therefore, we think that further discussion is needed regarding the introduction of MU-MIMO test cases.</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Observation 1. MU-MIMO scenario is a very typical scenario in practical network scheduling.</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1. MU-MIMO scenario could be considered from practical deployment perspective.</w:t>
      </w:r>
    </w:p>
    <w:p>
      <w:pPr>
        <w:spacing w:before="120" w:after="120"/>
        <w:rPr>
          <w:rFonts w:hint="eastAsia"/>
          <w:lang w:val="en-US" w:eastAsia="zh-CN"/>
        </w:rPr>
      </w:pPr>
    </w:p>
    <w:p>
      <w:pPr>
        <w:spacing w:before="120" w:after="120"/>
        <w:rPr>
          <w:rFonts w:hint="eastAsia"/>
          <w:lang w:val="en-US" w:eastAsia="zh-CN"/>
        </w:rPr>
      </w:pPr>
      <w:r>
        <w:rPr>
          <w:rFonts w:hint="eastAsia"/>
          <w:lang w:val="en-US" w:eastAsia="zh-CN"/>
        </w:rPr>
        <w:t xml:space="preserve">In the previous meeting, several companies proposed modeling approaches that differ from the CDL channel model, such as TX-RX beam steering and extension TDL channel model. As we all know, the biggest difference between TDL and CDL lies in that the spatial characteristics of the CDL channel model can be represented through AOA and AOD. Our motivation precisely revolves around exploring the gains imparted by spatial properties during signal transmission. </w:t>
      </w:r>
      <w:r>
        <w:rPr>
          <w:rFonts w:hint="default"/>
          <w:lang w:eastAsia="zh-CN"/>
        </w:rPr>
        <w:t>It is evident that, compared to the complexity modeling approach of CDL, incorporating spatial angles into the TDL channel model presents a certain level of feasibility</w:t>
      </w:r>
      <w:r>
        <w:rPr>
          <w:rFonts w:hint="eastAsia"/>
          <w:lang w:val="en-US" w:eastAsia="zh-CN"/>
        </w:rPr>
        <w:t xml:space="preserve"> in theoretically</w:t>
      </w:r>
      <w:r>
        <w:rPr>
          <w:rFonts w:hint="default"/>
          <w:lang w:eastAsia="zh-CN"/>
        </w:rPr>
        <w:t xml:space="preserve">. </w:t>
      </w:r>
      <w:r>
        <w:rPr>
          <w:rFonts w:hint="eastAsia"/>
          <w:lang w:val="en-US" w:eastAsia="zh-CN"/>
        </w:rPr>
        <w:t xml:space="preserve">However, we think that this approach still needs to verify the feasibility in implementation aspect for TE vendor. </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2. RAN4 needs to further study the testability of TX-RX beam steering and extension TDL channel model.</w:t>
      </w:r>
    </w:p>
    <w:p>
      <w:pPr>
        <w:spacing w:before="120" w:after="120"/>
        <w:rPr>
          <w:rFonts w:hint="default"/>
          <w:lang w:val="en-US" w:eastAsia="zh-CN"/>
        </w:rPr>
      </w:pPr>
    </w:p>
    <w:p>
      <w:pPr>
        <w:rPr>
          <w:rFonts w:hint="default" w:eastAsia="宋体"/>
          <w:iCs/>
          <w:lang w:val="en-US" w:eastAsia="zh-CN"/>
        </w:rPr>
      </w:pPr>
      <w:r>
        <w:rPr>
          <w:rFonts w:hint="eastAsia"/>
          <w:lang w:val="en-US" w:eastAsia="zh-CN"/>
        </w:rPr>
        <w:t xml:space="preserve">Another issue is regarding the mapping between CSI-RS antenna ports and physical antenna arrays. </w:t>
      </w:r>
      <w:r>
        <w:rPr>
          <w:rFonts w:eastAsia="Batang"/>
        </w:rPr>
        <w:t xml:space="preserve">The gNB beam pattern including the assumptions for gNB antenna for definitions </w:t>
      </w:r>
      <w:r>
        <w:rPr>
          <w:rFonts w:hint="eastAsia" w:eastAsia="宋体"/>
          <w:lang w:val="en-US" w:eastAsia="zh-CN"/>
        </w:rPr>
        <w:t xml:space="preserve">in TR 38.827 as shown in following table. </w:t>
      </w:r>
    </w:p>
    <w:p>
      <w:pPr>
        <w:keepNext/>
        <w:keepLines/>
        <w:spacing w:before="60" w:after="180"/>
        <w:jc w:val="center"/>
        <w:rPr>
          <w:rFonts w:ascii="Arial" w:hAnsi="Arial" w:eastAsia="Batang" w:cs="Times New Roman"/>
          <w:b/>
          <w:lang w:val="en-GB" w:eastAsia="en-US" w:bidi="ar-SA"/>
        </w:rPr>
      </w:pPr>
      <w:bookmarkStart w:id="3" w:name="_Ref4748995"/>
      <w:r>
        <w:rPr>
          <w:rFonts w:ascii="Arial" w:hAnsi="Arial" w:eastAsia="宋体" w:cs="Times New Roman"/>
          <w:b/>
          <w:lang w:val="en-GB" w:eastAsia="en-US" w:bidi="ar-SA"/>
        </w:rPr>
        <w:t>Table 7.2-</w:t>
      </w:r>
      <w:bookmarkEnd w:id="3"/>
      <w:r>
        <w:rPr>
          <w:rFonts w:ascii="Arial" w:hAnsi="Arial" w:eastAsia="宋体" w:cs="Times New Roman"/>
          <w:b/>
          <w:lang w:val="en-GB" w:eastAsia="en-US" w:bidi="ar-SA"/>
        </w:rPr>
        <w:t>7: BS Antenna Parameters</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9"/>
        <w:gridCol w:w="1204"/>
        <w:gridCol w:w="1588"/>
        <w:gridCol w:w="1405"/>
        <w:gridCol w:w="1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899" w:type="dxa"/>
            <w:vMerge w:val="restart"/>
            <w:shd w:val="clear" w:color="auto" w:fill="D9D9D9"/>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b/>
                <w:sz w:val="18"/>
                <w:szCs w:val="20"/>
                <w:lang w:val="en-GB" w:eastAsia="en-US" w:bidi="ar-SA"/>
              </w:rPr>
            </w:pPr>
            <w:r>
              <w:rPr>
                <w:rFonts w:hint="default" w:ascii="Arial" w:hAnsi="Arial" w:eastAsia="宋体" w:cs="Times New Roman"/>
                <w:b/>
                <w:sz w:val="18"/>
                <w:szCs w:val="20"/>
                <w:lang w:val="en-GB" w:eastAsia="en-US" w:bidi="ar-SA"/>
              </w:rPr>
              <w:t>Parameter description</w:t>
            </w:r>
          </w:p>
        </w:tc>
        <w:tc>
          <w:tcPr>
            <w:tcW w:w="1204" w:type="dxa"/>
            <w:vMerge w:val="restart"/>
            <w:shd w:val="clear" w:color="auto" w:fill="D9D9D9"/>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b/>
                <w:sz w:val="18"/>
                <w:szCs w:val="20"/>
                <w:lang w:val="en-GB" w:eastAsia="en-US" w:bidi="ar-SA"/>
              </w:rPr>
            </w:pPr>
            <w:r>
              <w:rPr>
                <w:rFonts w:hint="default" w:ascii="Arial" w:hAnsi="Arial" w:eastAsia="宋体" w:cs="Times New Roman"/>
                <w:b/>
                <w:sz w:val="18"/>
                <w:szCs w:val="20"/>
                <w:lang w:val="en-GB" w:eastAsia="en-US" w:bidi="ar-SA"/>
              </w:rPr>
              <w:t>Symbol</w:t>
            </w:r>
          </w:p>
        </w:tc>
        <w:tc>
          <w:tcPr>
            <w:tcW w:w="4249" w:type="dxa"/>
            <w:gridSpan w:val="3"/>
            <w:shd w:val="clear" w:color="auto" w:fill="D9D9D9"/>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b/>
                <w:sz w:val="18"/>
                <w:szCs w:val="20"/>
                <w:lang w:val="en-GB" w:eastAsia="en-US" w:bidi="ar-SA"/>
              </w:rPr>
            </w:pPr>
            <w:r>
              <w:rPr>
                <w:rFonts w:hint="default" w:ascii="Arial" w:hAnsi="Arial" w:eastAsia="宋体" w:cs="Times New Roman"/>
                <w:b/>
                <w:sz w:val="18"/>
                <w:szCs w:val="20"/>
                <w:lang w:val="en-GB" w:eastAsia="en-US" w:bidi="ar-SA"/>
              </w:rPr>
              <w:t>Parameter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899" w:type="dxa"/>
            <w:vMerge w:val="continue"/>
            <w:shd w:val="clear" w:color="auto" w:fill="D9D9D9"/>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b/>
                <w:sz w:val="18"/>
                <w:szCs w:val="20"/>
                <w:lang w:val="en-GB" w:eastAsia="en-US" w:bidi="ar-SA"/>
              </w:rPr>
            </w:pPr>
          </w:p>
        </w:tc>
        <w:tc>
          <w:tcPr>
            <w:tcW w:w="1204" w:type="dxa"/>
            <w:vMerge w:val="continue"/>
            <w:shd w:val="clear" w:color="auto" w:fill="D9D9D9"/>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b/>
                <w:sz w:val="18"/>
                <w:szCs w:val="20"/>
                <w:lang w:val="en-GB" w:eastAsia="en-US" w:bidi="ar-SA"/>
              </w:rPr>
            </w:pPr>
          </w:p>
        </w:tc>
        <w:tc>
          <w:tcPr>
            <w:tcW w:w="1588" w:type="dxa"/>
            <w:shd w:val="clear" w:color="auto" w:fill="D9D9D9"/>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b/>
                <w:sz w:val="18"/>
                <w:szCs w:val="20"/>
                <w:lang w:val="en-GB" w:eastAsia="en-US" w:bidi="ar-SA"/>
              </w:rPr>
            </w:pPr>
            <w:r>
              <w:rPr>
                <w:rFonts w:hint="default" w:ascii="Arial" w:hAnsi="Arial" w:eastAsia="宋体" w:cs="Times New Roman"/>
                <w:b/>
                <w:sz w:val="18"/>
                <w:szCs w:val="20"/>
                <w:lang w:val="en-GB" w:eastAsia="en-US" w:bidi="ar-SA"/>
              </w:rPr>
              <w:t xml:space="preserve">FR1 </w:t>
            </w:r>
            <w:r>
              <w:rPr>
                <w:rFonts w:hint="default" w:ascii="Arial" w:hAnsi="Arial" w:eastAsia="宋体" w:cs="Arial"/>
                <w:b/>
                <w:sz w:val="18"/>
                <w:szCs w:val="20"/>
                <w:lang w:val="en-GB" w:eastAsia="en-US" w:bidi="ar-SA"/>
              </w:rPr>
              <w:t>≤</w:t>
            </w:r>
            <w:r>
              <w:rPr>
                <w:rFonts w:hint="default" w:ascii="Arial" w:hAnsi="Arial" w:eastAsia="宋体" w:cs="Times New Roman"/>
                <w:b/>
                <w:sz w:val="18"/>
                <w:szCs w:val="20"/>
                <w:lang w:val="en-GB" w:eastAsia="en-US" w:bidi="ar-SA"/>
              </w:rPr>
              <w:t>2.5GHz</w:t>
            </w:r>
          </w:p>
        </w:tc>
        <w:tc>
          <w:tcPr>
            <w:tcW w:w="1405" w:type="dxa"/>
            <w:shd w:val="clear" w:color="auto" w:fill="D9D9D9"/>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b/>
                <w:sz w:val="18"/>
                <w:szCs w:val="20"/>
                <w:highlight w:val="yellow"/>
                <w:lang w:val="en-GB" w:eastAsia="en-US" w:bidi="ar-SA"/>
              </w:rPr>
            </w:pPr>
            <w:r>
              <w:rPr>
                <w:rFonts w:hint="default" w:ascii="Arial" w:hAnsi="Arial" w:eastAsia="宋体" w:cs="Times New Roman"/>
                <w:b/>
                <w:sz w:val="18"/>
                <w:szCs w:val="20"/>
                <w:highlight w:val="yellow"/>
                <w:lang w:val="en-GB" w:eastAsia="en-US" w:bidi="ar-SA"/>
              </w:rPr>
              <w:t>FR1 &gt;2.5GHz</w:t>
            </w:r>
          </w:p>
        </w:tc>
        <w:tc>
          <w:tcPr>
            <w:tcW w:w="1256" w:type="dxa"/>
            <w:shd w:val="clear" w:color="auto" w:fill="D9D9D9"/>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b/>
                <w:sz w:val="18"/>
                <w:szCs w:val="20"/>
                <w:lang w:val="en-GB" w:eastAsia="en-US" w:bidi="ar-SA"/>
              </w:rPr>
            </w:pPr>
            <w:r>
              <w:rPr>
                <w:rFonts w:hint="default" w:ascii="Arial" w:hAnsi="Arial" w:eastAsia="宋体" w:cs="Times New Roman"/>
                <w:b/>
                <w:sz w:val="18"/>
                <w:szCs w:val="20"/>
                <w:lang w:val="en-GB" w:eastAsia="en-US" w:bidi="ar-SA"/>
              </w:rPr>
              <w:t>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99"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Antenna panels in vertical dimension</w:t>
            </w:r>
          </w:p>
        </w:tc>
        <w:tc>
          <w:tcPr>
            <w:tcW w:w="1204"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default" w:ascii="Arial" w:hAnsi="Arial" w:eastAsia="宋体" w:cs="Times New Roman"/>
                <w:i/>
                <w:sz w:val="18"/>
                <w:szCs w:val="20"/>
                <w:lang w:val="en-GB" w:eastAsia="en-US" w:bidi="ar-SA"/>
              </w:rPr>
              <w:t>M</w:t>
            </w:r>
            <w:r>
              <w:rPr>
                <w:rFonts w:hint="default" w:ascii="Arial" w:hAnsi="Arial" w:eastAsia="宋体" w:cs="Times New Roman"/>
                <w:i/>
                <w:sz w:val="18"/>
                <w:szCs w:val="20"/>
                <w:vertAlign w:val="subscript"/>
                <w:lang w:val="en-GB" w:eastAsia="en-US" w:bidi="ar-SA"/>
              </w:rPr>
              <w:t>g</w:t>
            </w:r>
          </w:p>
        </w:tc>
        <w:tc>
          <w:tcPr>
            <w:tcW w:w="1588"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1</w:t>
            </w:r>
          </w:p>
        </w:tc>
        <w:tc>
          <w:tcPr>
            <w:tcW w:w="1405"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highlight w:val="yellow"/>
                <w:lang w:val="en-GB" w:eastAsia="en-US" w:bidi="ar-SA"/>
              </w:rPr>
            </w:pPr>
            <w:r>
              <w:rPr>
                <w:rFonts w:hint="default" w:ascii="Arial" w:hAnsi="Arial" w:eastAsia="宋体" w:cs="Times New Roman"/>
                <w:sz w:val="18"/>
                <w:szCs w:val="20"/>
                <w:highlight w:val="yellow"/>
                <w:lang w:val="en-GB" w:eastAsia="en-US" w:bidi="ar-SA"/>
              </w:rPr>
              <w:t>1</w:t>
            </w:r>
          </w:p>
        </w:tc>
        <w:tc>
          <w:tcPr>
            <w:tcW w:w="1256"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99"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Antenna panels in horizontal dimension</w:t>
            </w:r>
          </w:p>
        </w:tc>
        <w:tc>
          <w:tcPr>
            <w:tcW w:w="1204"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default" w:ascii="Arial" w:hAnsi="Arial" w:eastAsia="宋体" w:cs="Times New Roman"/>
                <w:i/>
                <w:sz w:val="18"/>
                <w:szCs w:val="20"/>
                <w:lang w:val="en-GB" w:eastAsia="en-US" w:bidi="ar-SA"/>
              </w:rPr>
              <w:t>N</w:t>
            </w:r>
            <w:r>
              <w:rPr>
                <w:rFonts w:hint="default" w:ascii="Arial" w:hAnsi="Arial" w:eastAsia="宋体" w:cs="Times New Roman"/>
                <w:i/>
                <w:sz w:val="18"/>
                <w:szCs w:val="20"/>
                <w:vertAlign w:val="subscript"/>
                <w:lang w:val="en-GB" w:eastAsia="en-US" w:bidi="ar-SA"/>
              </w:rPr>
              <w:t>g</w:t>
            </w:r>
          </w:p>
        </w:tc>
        <w:tc>
          <w:tcPr>
            <w:tcW w:w="1588"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1</w:t>
            </w:r>
          </w:p>
        </w:tc>
        <w:tc>
          <w:tcPr>
            <w:tcW w:w="1405"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highlight w:val="yellow"/>
                <w:lang w:val="en-GB" w:eastAsia="en-US" w:bidi="ar-SA"/>
              </w:rPr>
            </w:pPr>
            <w:r>
              <w:rPr>
                <w:rFonts w:hint="default" w:ascii="Arial" w:hAnsi="Arial" w:eastAsia="宋体" w:cs="Times New Roman"/>
                <w:sz w:val="18"/>
                <w:szCs w:val="20"/>
                <w:highlight w:val="yellow"/>
                <w:lang w:val="en-GB" w:eastAsia="en-US" w:bidi="ar-SA"/>
              </w:rPr>
              <w:t>1</w:t>
            </w:r>
          </w:p>
        </w:tc>
        <w:tc>
          <w:tcPr>
            <w:tcW w:w="1256"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99"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Elements per panel in vertical dimension</w:t>
            </w:r>
          </w:p>
        </w:tc>
        <w:tc>
          <w:tcPr>
            <w:tcW w:w="1204"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default" w:ascii="Arial" w:hAnsi="Arial" w:eastAsia="宋体" w:cs="Times New Roman"/>
                <w:i/>
                <w:sz w:val="18"/>
                <w:szCs w:val="20"/>
                <w:lang w:val="en-GB" w:eastAsia="en-US" w:bidi="ar-SA"/>
              </w:rPr>
              <w:t>M</w:t>
            </w:r>
            <w:r>
              <w:rPr>
                <w:rFonts w:hint="default" w:ascii="Arial" w:hAnsi="Arial" w:eastAsia="宋体" w:cs="Times New Roman"/>
                <w:i/>
                <w:sz w:val="18"/>
                <w:szCs w:val="20"/>
                <w:vertAlign w:val="subscript"/>
                <w:lang w:val="en-GB" w:eastAsia="en-US" w:bidi="ar-SA"/>
              </w:rPr>
              <w:t>e</w:t>
            </w:r>
          </w:p>
        </w:tc>
        <w:tc>
          <w:tcPr>
            <w:tcW w:w="1588"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4</w:t>
            </w:r>
          </w:p>
        </w:tc>
        <w:tc>
          <w:tcPr>
            <w:tcW w:w="1405"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highlight w:val="yellow"/>
                <w:lang w:val="en-GB" w:eastAsia="en-US" w:bidi="ar-SA"/>
              </w:rPr>
            </w:pPr>
            <w:r>
              <w:rPr>
                <w:rFonts w:hint="default" w:ascii="Arial" w:hAnsi="Arial" w:eastAsia="宋体" w:cs="Times New Roman"/>
                <w:sz w:val="18"/>
                <w:szCs w:val="20"/>
                <w:highlight w:val="yellow"/>
                <w:lang w:val="en-GB" w:eastAsia="en-US" w:bidi="ar-SA"/>
              </w:rPr>
              <w:t>8</w:t>
            </w:r>
          </w:p>
        </w:tc>
        <w:tc>
          <w:tcPr>
            <w:tcW w:w="1256"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99"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Elements per panel in horizontal dimension</w:t>
            </w:r>
          </w:p>
        </w:tc>
        <w:tc>
          <w:tcPr>
            <w:tcW w:w="1204"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i/>
                <w:sz w:val="18"/>
                <w:szCs w:val="20"/>
                <w:lang w:val="en-GB" w:eastAsia="en-US" w:bidi="ar-SA"/>
              </w:rPr>
            </w:pPr>
            <w:r>
              <w:rPr>
                <w:rFonts w:hint="default" w:ascii="Arial" w:hAnsi="Arial" w:eastAsia="宋体" w:cs="Times New Roman"/>
                <w:i/>
                <w:sz w:val="18"/>
                <w:szCs w:val="20"/>
                <w:lang w:val="en-GB" w:eastAsia="en-US" w:bidi="ar-SA"/>
              </w:rPr>
              <w:t>N</w:t>
            </w:r>
            <w:r>
              <w:rPr>
                <w:rFonts w:hint="default" w:ascii="Arial" w:hAnsi="Arial" w:eastAsia="宋体" w:cs="Times New Roman"/>
                <w:i/>
                <w:sz w:val="18"/>
                <w:szCs w:val="20"/>
                <w:vertAlign w:val="subscript"/>
                <w:lang w:val="en-GB" w:eastAsia="en-US" w:bidi="ar-SA"/>
              </w:rPr>
              <w:t>e</w:t>
            </w:r>
          </w:p>
        </w:tc>
        <w:tc>
          <w:tcPr>
            <w:tcW w:w="1588"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8</w:t>
            </w:r>
          </w:p>
        </w:tc>
        <w:tc>
          <w:tcPr>
            <w:tcW w:w="1405"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highlight w:val="yellow"/>
                <w:lang w:val="en-GB" w:eastAsia="en-US" w:bidi="ar-SA"/>
              </w:rPr>
            </w:pPr>
            <w:r>
              <w:rPr>
                <w:rFonts w:hint="default" w:ascii="Arial" w:hAnsi="Arial" w:eastAsia="宋体" w:cs="Times New Roman"/>
                <w:sz w:val="18"/>
                <w:szCs w:val="20"/>
                <w:highlight w:val="yellow"/>
                <w:lang w:val="en-GB" w:eastAsia="en-US" w:bidi="ar-SA"/>
              </w:rPr>
              <w:t>8</w:t>
            </w:r>
          </w:p>
        </w:tc>
        <w:tc>
          <w:tcPr>
            <w:tcW w:w="1256"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99"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Number of polarizations per panel</w:t>
            </w:r>
          </w:p>
        </w:tc>
        <w:tc>
          <w:tcPr>
            <w:tcW w:w="1204"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i/>
                <w:sz w:val="18"/>
                <w:szCs w:val="20"/>
                <w:lang w:val="en-GB" w:eastAsia="en-US" w:bidi="ar-SA"/>
              </w:rPr>
            </w:pPr>
            <w:r>
              <w:rPr>
                <w:rFonts w:hint="default" w:ascii="Arial" w:hAnsi="Arial" w:eastAsia="宋体" w:cs="Times New Roman"/>
                <w:i/>
                <w:sz w:val="18"/>
                <w:szCs w:val="20"/>
                <w:lang w:val="en-GB" w:eastAsia="en-US" w:bidi="ar-SA"/>
              </w:rPr>
              <w:t>P</w:t>
            </w:r>
          </w:p>
        </w:tc>
        <w:tc>
          <w:tcPr>
            <w:tcW w:w="1588"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2</w:t>
            </w:r>
          </w:p>
        </w:tc>
        <w:tc>
          <w:tcPr>
            <w:tcW w:w="1405"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highlight w:val="yellow"/>
                <w:lang w:val="en-GB" w:eastAsia="en-US" w:bidi="ar-SA"/>
              </w:rPr>
            </w:pPr>
            <w:r>
              <w:rPr>
                <w:rFonts w:hint="default" w:ascii="Arial" w:hAnsi="Arial" w:eastAsia="宋体" w:cs="Times New Roman"/>
                <w:sz w:val="18"/>
                <w:szCs w:val="20"/>
                <w:highlight w:val="yellow"/>
                <w:lang w:val="en-GB" w:eastAsia="en-US" w:bidi="ar-SA"/>
              </w:rPr>
              <w:t>2</w:t>
            </w:r>
          </w:p>
        </w:tc>
        <w:tc>
          <w:tcPr>
            <w:tcW w:w="1256"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99"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Element spacing in horizontal dimension (</w:t>
            </w:r>
            <w:r>
              <w:rPr>
                <w:rFonts w:hint="default" w:ascii="Arial" w:hAnsi="Arial" w:eastAsia="宋体" w:cs="Times New Roman"/>
                <w:sz w:val="18"/>
                <w:szCs w:val="20"/>
                <w:lang w:val="en-GB" w:eastAsia="en-US" w:bidi="ar-SA"/>
              </w:rPr>
              <w:sym w:font="Symbol" w:char="F06C"/>
            </w:r>
            <w:r>
              <w:rPr>
                <w:rFonts w:hint="default" w:ascii="Arial" w:hAnsi="Arial" w:eastAsia="宋体" w:cs="Times New Roman"/>
                <w:sz w:val="18"/>
                <w:szCs w:val="20"/>
                <w:lang w:val="en-GB" w:eastAsia="en-US" w:bidi="ar-SA"/>
              </w:rPr>
              <w:t>)</w:t>
            </w:r>
          </w:p>
        </w:tc>
        <w:tc>
          <w:tcPr>
            <w:tcW w:w="1204"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default" w:ascii="Arial" w:hAnsi="Arial" w:eastAsia="宋体" w:cs="Times New Roman"/>
                <w:i/>
                <w:iCs/>
                <w:sz w:val="18"/>
                <w:szCs w:val="20"/>
                <w:lang w:val="en-GB" w:eastAsia="en-US" w:bidi="ar-SA"/>
              </w:rPr>
              <w:t>d</w:t>
            </w:r>
            <w:r>
              <w:rPr>
                <w:rFonts w:hint="default" w:ascii="Arial" w:hAnsi="Arial" w:eastAsia="宋体" w:cs="Times New Roman"/>
                <w:i/>
                <w:iCs/>
                <w:sz w:val="18"/>
                <w:szCs w:val="20"/>
                <w:vertAlign w:val="subscript"/>
                <w:lang w:val="en-GB" w:eastAsia="en-US" w:bidi="ar-SA"/>
              </w:rPr>
              <w:t>H</w:t>
            </w:r>
          </w:p>
        </w:tc>
        <w:tc>
          <w:tcPr>
            <w:tcW w:w="1588"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0.5</w:t>
            </w:r>
          </w:p>
        </w:tc>
        <w:tc>
          <w:tcPr>
            <w:tcW w:w="1405"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highlight w:val="yellow"/>
                <w:lang w:val="en-GB" w:eastAsia="en-US" w:bidi="ar-SA"/>
              </w:rPr>
            </w:pPr>
            <w:r>
              <w:rPr>
                <w:rFonts w:hint="default" w:ascii="Arial" w:hAnsi="Arial" w:eastAsia="宋体" w:cs="Times New Roman"/>
                <w:sz w:val="18"/>
                <w:szCs w:val="20"/>
                <w:highlight w:val="yellow"/>
                <w:lang w:val="en-GB" w:eastAsia="en-US" w:bidi="ar-SA"/>
              </w:rPr>
              <w:t>0.5</w:t>
            </w:r>
          </w:p>
        </w:tc>
        <w:tc>
          <w:tcPr>
            <w:tcW w:w="1256"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99"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Element spacing in vertical dimension (</w:t>
            </w:r>
            <w:r>
              <w:rPr>
                <w:rFonts w:hint="default" w:ascii="Arial" w:hAnsi="Arial" w:eastAsia="宋体" w:cs="Times New Roman"/>
                <w:sz w:val="18"/>
                <w:szCs w:val="20"/>
                <w:lang w:val="en-GB" w:eastAsia="en-US" w:bidi="ar-SA"/>
              </w:rPr>
              <w:sym w:font="Symbol" w:char="F06C"/>
            </w:r>
            <w:r>
              <w:rPr>
                <w:rFonts w:hint="default" w:ascii="Arial" w:hAnsi="Arial" w:eastAsia="宋体" w:cs="Times New Roman"/>
                <w:sz w:val="18"/>
                <w:szCs w:val="20"/>
                <w:lang w:val="en-GB" w:eastAsia="en-US" w:bidi="ar-SA"/>
              </w:rPr>
              <w:t>)</w:t>
            </w:r>
          </w:p>
        </w:tc>
        <w:tc>
          <w:tcPr>
            <w:tcW w:w="1204"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default" w:ascii="Arial" w:hAnsi="Arial" w:eastAsia="宋体" w:cs="Times New Roman"/>
                <w:i/>
                <w:iCs/>
                <w:sz w:val="18"/>
                <w:szCs w:val="20"/>
                <w:lang w:val="en-GB" w:eastAsia="en-US" w:bidi="ar-SA"/>
              </w:rPr>
              <w:t>d</w:t>
            </w:r>
            <w:r>
              <w:rPr>
                <w:rFonts w:hint="default" w:ascii="Arial" w:hAnsi="Arial" w:eastAsia="宋体" w:cs="Times New Roman"/>
                <w:i/>
                <w:iCs/>
                <w:sz w:val="18"/>
                <w:szCs w:val="20"/>
                <w:vertAlign w:val="subscript"/>
                <w:lang w:val="en-GB" w:eastAsia="en-US" w:bidi="ar-SA"/>
              </w:rPr>
              <w:t>V</w:t>
            </w:r>
          </w:p>
        </w:tc>
        <w:tc>
          <w:tcPr>
            <w:tcW w:w="1588"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0.5</w:t>
            </w:r>
          </w:p>
        </w:tc>
        <w:tc>
          <w:tcPr>
            <w:tcW w:w="1405"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highlight w:val="yellow"/>
                <w:lang w:val="en-GB" w:eastAsia="en-US" w:bidi="ar-SA"/>
              </w:rPr>
            </w:pPr>
            <w:r>
              <w:rPr>
                <w:rFonts w:hint="default" w:ascii="Arial" w:hAnsi="Arial" w:eastAsia="宋体" w:cs="Times New Roman"/>
                <w:sz w:val="18"/>
                <w:szCs w:val="20"/>
                <w:highlight w:val="yellow"/>
                <w:lang w:val="en-GB" w:eastAsia="en-US" w:bidi="ar-SA"/>
              </w:rPr>
              <w:t>0.5</w:t>
            </w:r>
          </w:p>
        </w:tc>
        <w:tc>
          <w:tcPr>
            <w:tcW w:w="1256"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0.5</w:t>
            </w:r>
          </w:p>
        </w:tc>
      </w:tr>
    </w:tbl>
    <w:p>
      <w:pPr>
        <w:spacing w:before="120" w:after="120"/>
        <w:rPr>
          <w:rFonts w:hint="default"/>
          <w:lang w:val="en-US" w:eastAsia="zh-CN"/>
        </w:rPr>
      </w:pPr>
      <w:r>
        <w:rPr>
          <w:rFonts w:hint="eastAsia"/>
          <w:lang w:val="en-US" w:eastAsia="zh-CN"/>
        </w:rPr>
        <w:t>Since we chose (Mg,Ng,Me,Ne,P) = (1,1,8,8,2) as BS antenna element radiation pattern for 8 port transmission in last meeting. For 8 port CSI-RS transmission, there are currently two specified CSI antenna port arrays defined by the specification as shown in following, (</w:t>
      </w:r>
      <w:r>
        <w:rPr>
          <w:rFonts w:hint="eastAsia"/>
          <w:i/>
          <w:iCs/>
          <w:lang w:val="en-US" w:eastAsia="zh-CN"/>
        </w:rPr>
        <w:t>N</w:t>
      </w:r>
      <w:r>
        <w:rPr>
          <w:rFonts w:hint="eastAsia"/>
          <w:vertAlign w:val="subscript"/>
          <w:lang w:val="en-US" w:eastAsia="zh-CN"/>
        </w:rPr>
        <w:t>1</w:t>
      </w:r>
      <w:r>
        <w:rPr>
          <w:rFonts w:hint="eastAsia"/>
          <w:lang w:val="en-US" w:eastAsia="zh-CN"/>
        </w:rPr>
        <w:t>,</w:t>
      </w:r>
      <w:r>
        <w:rPr>
          <w:rFonts w:hint="eastAsia"/>
          <w:i/>
          <w:iCs/>
          <w:lang w:val="en-US" w:eastAsia="zh-CN"/>
        </w:rPr>
        <w:t>N</w:t>
      </w:r>
      <w:r>
        <w:rPr>
          <w:rFonts w:hint="eastAsia"/>
          <w:vertAlign w:val="subscript"/>
          <w:lang w:val="en-US" w:eastAsia="zh-CN"/>
        </w:rPr>
        <w:t>2</w:t>
      </w:r>
      <w:r>
        <w:rPr>
          <w:rFonts w:hint="eastAsia"/>
          <w:lang w:val="en-US" w:eastAsia="zh-CN"/>
        </w:rPr>
        <w:t>) = (2,2) or (</w:t>
      </w:r>
      <w:r>
        <w:rPr>
          <w:rFonts w:hint="eastAsia"/>
          <w:i/>
          <w:iCs/>
          <w:lang w:val="en-US" w:eastAsia="zh-CN"/>
        </w:rPr>
        <w:t>N</w:t>
      </w:r>
      <w:r>
        <w:rPr>
          <w:rFonts w:hint="eastAsia"/>
          <w:vertAlign w:val="subscript"/>
          <w:lang w:val="en-US" w:eastAsia="zh-CN"/>
        </w:rPr>
        <w:t>1</w:t>
      </w:r>
      <w:r>
        <w:rPr>
          <w:rFonts w:hint="eastAsia"/>
          <w:lang w:val="en-US" w:eastAsia="zh-CN"/>
        </w:rPr>
        <w:t>,</w:t>
      </w:r>
      <w:r>
        <w:rPr>
          <w:rFonts w:hint="eastAsia"/>
          <w:i/>
          <w:iCs/>
          <w:lang w:val="en-US" w:eastAsia="zh-CN"/>
        </w:rPr>
        <w:t>N</w:t>
      </w:r>
      <w:r>
        <w:rPr>
          <w:rFonts w:hint="eastAsia"/>
          <w:vertAlign w:val="subscript"/>
          <w:lang w:val="en-US" w:eastAsia="zh-CN"/>
        </w:rPr>
        <w:t>2</w:t>
      </w:r>
      <w:r>
        <w:rPr>
          <w:rFonts w:hint="eastAsia"/>
          <w:lang w:val="en-US" w:eastAsia="zh-CN"/>
        </w:rPr>
        <w:t xml:space="preserve">) = (4,1). The main difference caused by this different structure is the shape of the beam in 3D space. </w:t>
      </w:r>
    </w:p>
    <w:p>
      <w:pPr>
        <w:spacing w:before="120" w:after="120"/>
      </w:pPr>
      <w:r>
        <w:drawing>
          <wp:inline distT="0" distB="0" distL="114300" distR="114300">
            <wp:extent cx="6129020" cy="1400175"/>
            <wp:effectExtent l="0" t="0" r="12700" b="190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2"/>
                    <a:stretch>
                      <a:fillRect/>
                    </a:stretch>
                  </pic:blipFill>
                  <pic:spPr>
                    <a:xfrm>
                      <a:off x="0" y="0"/>
                      <a:ext cx="6129020" cy="1400175"/>
                    </a:xfrm>
                    <a:prstGeom prst="rect">
                      <a:avLst/>
                    </a:prstGeom>
                    <a:noFill/>
                    <a:ln>
                      <a:noFill/>
                    </a:ln>
                  </pic:spPr>
                </pic:pic>
              </a:graphicData>
            </a:graphic>
          </wp:inline>
        </w:drawing>
      </w:r>
    </w:p>
    <w:p>
      <w:pPr>
        <w:keepNext w:val="0"/>
        <w:keepLines w:val="0"/>
        <w:widowControl/>
        <w:suppressLineNumbers w:val="0"/>
        <w:jc w:val="both"/>
        <w:rPr>
          <w:rFonts w:hint="default"/>
          <w:lang w:val="en-US" w:eastAsia="zh-CN"/>
        </w:rPr>
      </w:pPr>
      <w:r>
        <w:rPr>
          <w:rFonts w:hint="eastAsia"/>
          <w:lang w:val="en-US" w:eastAsia="zh-CN"/>
        </w:rPr>
        <w:t>In following Fig 1, which is the process of mapping each of CSI-RS antenna port to antenna elements in the array to physical antenna array. From (a) to (b) is the process of mapping each of CSI-RS antenna port to 1D or 2D array of cross-polarized virtual antenna ports. (b) to (c) is the process of mapping each of antenna elements in the array to a physical antenna array. The array size of (c) should be equal to or larger than the size of (b). In case of beam forming, the size of (c) would be much greater than the size of (b). In this example, we use 4×1 array for 8 CSI-RS port, one polarized antenna in (b) is mapped to sixteen polarized antenna in (c). However, this mapping is just an example and the mapping depending on the implementation of vendor. Typically, we need to employ analog beam forming to realize this mapping approach. Consequently, from RAN4 demod perspective, different analog beam forming can result in substantial variations in beam direction, thereby leading to significance differences in the final results. From our understanding, RAN4 should consider further specifying this implementation of potentially reducing the number of antenna arrays to ensure one-to-one correspondence between CSI-RS ports and physical antenna array.</w:t>
      </w:r>
    </w:p>
    <w:p>
      <w:pPr>
        <w:keepNext w:val="0"/>
        <w:keepLines w:val="0"/>
        <w:widowControl/>
        <w:suppressLineNumbers w:val="0"/>
        <w:jc w:val="left"/>
        <w:rPr>
          <w:rFonts w:hint="default" w:eastAsia="宋体"/>
          <w:lang w:val="en-US" w:eastAsia="zh-CN"/>
        </w:rPr>
      </w:pPr>
      <w:r>
        <w:rPr>
          <w:rFonts w:hint="eastAsia" w:eastAsia="宋体"/>
          <w:lang w:eastAsia="zh-CN"/>
        </w:rPr>
        <w:drawing>
          <wp:inline distT="0" distB="0" distL="114300" distR="114300">
            <wp:extent cx="5624195" cy="2783840"/>
            <wp:effectExtent l="0" t="0" r="14605" b="0"/>
            <wp:docPr id="6" name="图片 6" descr="CSI-RS mapping to physical antenn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SI-RS mapping to physical antenna(1)"/>
                    <pic:cNvPicPr>
                      <a:picLocks noChangeAspect="1"/>
                    </pic:cNvPicPr>
                  </pic:nvPicPr>
                  <pic:blipFill>
                    <a:blip r:embed="rId13"/>
                    <a:stretch>
                      <a:fillRect/>
                    </a:stretch>
                  </pic:blipFill>
                  <pic:spPr>
                    <a:xfrm>
                      <a:off x="0" y="0"/>
                      <a:ext cx="5624195" cy="2783840"/>
                    </a:xfrm>
                    <a:prstGeom prst="rect">
                      <a:avLst/>
                    </a:prstGeom>
                  </pic:spPr>
                </pic:pic>
              </a:graphicData>
            </a:graphic>
          </wp:inline>
        </w:drawing>
      </w:r>
      <w:r>
        <w:rPr>
          <w:rFonts w:hint="eastAsia"/>
          <w:lang w:val="en-US" w:eastAsia="zh-CN"/>
        </w:rPr>
        <w:t>+-</w:t>
      </w:r>
    </w:p>
    <w:p>
      <w:pPr>
        <w:keepNext w:val="0"/>
        <w:keepLines w:val="0"/>
        <w:widowControl/>
        <w:suppressLineNumbers w:val="0"/>
        <w:jc w:val="center"/>
        <w:rPr>
          <w:rFonts w:hint="default" w:eastAsia="宋体"/>
          <w:lang w:val="en-US" w:eastAsia="zh-CN"/>
        </w:rPr>
      </w:pPr>
      <w:r>
        <w:rPr>
          <w:rFonts w:hint="eastAsia"/>
          <w:lang w:val="en-US" w:eastAsia="zh-CN"/>
        </w:rPr>
        <w:t>Fig 1. CSI-RS mapping to antenna array</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Observation 2. The process of mapping each of CSI-RS antenna port to antenna elements in the array to physical antenna array based on the implementation if the size of physical antenna array larger than CSI-RS antenna port.</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3. The process of mapping between CSI-RS antenna port and physical antenna array needs more further discussion.</w:t>
      </w:r>
    </w:p>
    <w:p>
      <w:pPr>
        <w:keepNext w:val="0"/>
        <w:keepLines w:val="0"/>
        <w:widowControl/>
        <w:suppressLineNumbers w:val="0"/>
        <w:jc w:val="left"/>
        <w:rPr>
          <w:rFonts w:hint="default" w:eastAsia="宋体"/>
          <w:lang w:val="en-US" w:eastAsia="zh-CN"/>
        </w:rPr>
      </w:pPr>
    </w:p>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we give some discussions on</w:t>
      </w:r>
      <w:r>
        <w:rPr>
          <w:rFonts w:hint="eastAsia"/>
          <w:bCs/>
          <w:kern w:val="0"/>
          <w:szCs w:val="21"/>
          <w:lang w:val="en-US" w:eastAsia="zh-CN"/>
        </w:rPr>
        <w:t xml:space="preserve"> spatial channel model for </w:t>
      </w:r>
      <w:r>
        <w:rPr>
          <w:rFonts w:hint="eastAsia"/>
          <w:bCs/>
          <w:kern w:val="0"/>
          <w:szCs w:val="21"/>
        </w:rPr>
        <w:t xml:space="preserve">demodulation </w:t>
      </w:r>
      <w:r>
        <w:rPr>
          <w:rFonts w:hint="eastAsia"/>
          <w:bCs/>
          <w:kern w:val="0"/>
          <w:szCs w:val="21"/>
          <w:lang w:val="en-US" w:eastAsia="zh-CN"/>
        </w:rPr>
        <w:t xml:space="preserve">performance </w:t>
      </w:r>
      <w:r>
        <w:rPr>
          <w:rFonts w:hint="eastAsia"/>
          <w:bCs/>
          <w:kern w:val="0"/>
          <w:szCs w:val="21"/>
        </w:rPr>
        <w:t>requirements , The conclusions are:</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Observation 1. MU-MIMO scenario is a very typical scenario in practical network scheduling.</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Observation 2. The process of mapping each of CSI-RS antenna port to antenna elements in the array to physical antenna array based on the implementation if the size of physical antenna array larger than CSI-RS antenna port.</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1. MU-MIMO scenario could be considered from practical deployment perspective.</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2. RAN4 needs to further study the testability of TX-RX beam steering and extension TDL channel model.</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3. The process of mapping between CSI-RS antenna port and physical antenna array needs more further discussion.</w:t>
      </w: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8"/>
        </w:numPr>
        <w:spacing w:afterLines="0" w:line="259" w:lineRule="auto"/>
        <w:ind w:right="-22"/>
        <w:jc w:val="left"/>
        <w:rPr>
          <w:rFonts w:eastAsiaTheme="minorHAnsi" w:cstheme="minorBidi"/>
          <w:kern w:val="0"/>
          <w:sz w:val="21"/>
          <w:szCs w:val="21"/>
          <w:lang w:eastAsia="en-US"/>
        </w:rPr>
      </w:pPr>
      <w:r>
        <w:rPr>
          <w:rFonts w:hint="eastAsia" w:eastAsia="宋体" w:cstheme="minorBidi"/>
          <w:kern w:val="0"/>
          <w:sz w:val="21"/>
          <w:szCs w:val="21"/>
          <w:lang w:val="en-US" w:eastAsia="zh-CN"/>
        </w:rPr>
        <w:t>RP-241610, New WID: Study on spatial channel model for demodulation performance requirements, Nokia.</w:t>
      </w:r>
    </w:p>
    <w:p>
      <w:pPr>
        <w:pStyle w:val="33"/>
        <w:numPr>
          <w:ilvl w:val="0"/>
          <w:numId w:val="8"/>
        </w:numPr>
        <w:spacing w:afterLines="0" w:line="259" w:lineRule="auto"/>
        <w:ind w:right="-22"/>
        <w:jc w:val="left"/>
        <w:rPr>
          <w:rFonts w:eastAsiaTheme="minorHAnsi" w:cstheme="minorBidi"/>
          <w:kern w:val="0"/>
          <w:sz w:val="21"/>
          <w:szCs w:val="21"/>
          <w:lang w:eastAsia="en-US"/>
        </w:rPr>
      </w:pPr>
      <w:r>
        <w:rPr>
          <w:rFonts w:hint="eastAsia" w:eastAsiaTheme="minorHAnsi" w:cstheme="minorBidi"/>
          <w:kern w:val="0"/>
          <w:sz w:val="21"/>
          <w:szCs w:val="21"/>
          <w:lang w:eastAsia="en-US"/>
        </w:rPr>
        <w:t>R4-2413606, Way Forward for [112][327] FS_NR_demod_SCM. Nokia.</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2DF7173C"/>
    <w:multiLevelType w:val="multilevel"/>
    <w:tmpl w:val="2DF7173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7">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7"/>
  </w:num>
  <w:num w:numId="3">
    <w:abstractNumId w:val="4"/>
  </w:num>
  <w:num w:numId="4">
    <w:abstractNumId w:val="5"/>
  </w:num>
  <w:num w:numId="5">
    <w:abstractNumId w:val="1"/>
  </w:num>
  <w:num w:numId="6">
    <w:abstractNumId w:val="0"/>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51321"/>
    <w:rsid w:val="010F1384"/>
    <w:rsid w:val="011A0B49"/>
    <w:rsid w:val="011E4C0F"/>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36FCC"/>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45E8F"/>
    <w:rsid w:val="035154D3"/>
    <w:rsid w:val="03527C38"/>
    <w:rsid w:val="035402E6"/>
    <w:rsid w:val="03561517"/>
    <w:rsid w:val="035672C1"/>
    <w:rsid w:val="0356746F"/>
    <w:rsid w:val="03614A67"/>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EE6277"/>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5E57574"/>
    <w:rsid w:val="05EE6E49"/>
    <w:rsid w:val="0601277E"/>
    <w:rsid w:val="060C5AED"/>
    <w:rsid w:val="06103146"/>
    <w:rsid w:val="06172561"/>
    <w:rsid w:val="061E54DA"/>
    <w:rsid w:val="061E5E22"/>
    <w:rsid w:val="063A599C"/>
    <w:rsid w:val="06460B91"/>
    <w:rsid w:val="0654187C"/>
    <w:rsid w:val="065475DE"/>
    <w:rsid w:val="0677709C"/>
    <w:rsid w:val="067C28D6"/>
    <w:rsid w:val="068967F5"/>
    <w:rsid w:val="068B36F9"/>
    <w:rsid w:val="068E06BC"/>
    <w:rsid w:val="069201CB"/>
    <w:rsid w:val="06A613AE"/>
    <w:rsid w:val="06A9177A"/>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50164B"/>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45721"/>
    <w:rsid w:val="0A1F01B6"/>
    <w:rsid w:val="0A3708FF"/>
    <w:rsid w:val="0A3A5FEA"/>
    <w:rsid w:val="0A3B01F9"/>
    <w:rsid w:val="0A3F0488"/>
    <w:rsid w:val="0A402A36"/>
    <w:rsid w:val="0A4B1185"/>
    <w:rsid w:val="0A646846"/>
    <w:rsid w:val="0A9B1B16"/>
    <w:rsid w:val="0A9E3D3D"/>
    <w:rsid w:val="0AA077E0"/>
    <w:rsid w:val="0AC0212C"/>
    <w:rsid w:val="0AC27B0C"/>
    <w:rsid w:val="0ACB2C6F"/>
    <w:rsid w:val="0AD3155B"/>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4E5BBE"/>
    <w:rsid w:val="0C5C6396"/>
    <w:rsid w:val="0C647D62"/>
    <w:rsid w:val="0C650A20"/>
    <w:rsid w:val="0C6E11B8"/>
    <w:rsid w:val="0C723CD1"/>
    <w:rsid w:val="0C993C5F"/>
    <w:rsid w:val="0CB72726"/>
    <w:rsid w:val="0CB752EB"/>
    <w:rsid w:val="0CB94808"/>
    <w:rsid w:val="0CC37BC2"/>
    <w:rsid w:val="0CC83EB0"/>
    <w:rsid w:val="0CD87ABE"/>
    <w:rsid w:val="0CE26C42"/>
    <w:rsid w:val="0CE76B48"/>
    <w:rsid w:val="0CF62FDB"/>
    <w:rsid w:val="0CFB523A"/>
    <w:rsid w:val="0D2132FE"/>
    <w:rsid w:val="0D4B44A1"/>
    <w:rsid w:val="0D6047E0"/>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472E59"/>
    <w:rsid w:val="0E5433AA"/>
    <w:rsid w:val="0E6271DF"/>
    <w:rsid w:val="0E81568A"/>
    <w:rsid w:val="0E942250"/>
    <w:rsid w:val="0E963344"/>
    <w:rsid w:val="0E9E6E00"/>
    <w:rsid w:val="0EA40C1C"/>
    <w:rsid w:val="0ED50DDE"/>
    <w:rsid w:val="0EE41032"/>
    <w:rsid w:val="0EEC6F1D"/>
    <w:rsid w:val="0EF02F61"/>
    <w:rsid w:val="0F103291"/>
    <w:rsid w:val="0F1D498B"/>
    <w:rsid w:val="0F337178"/>
    <w:rsid w:val="0F41022A"/>
    <w:rsid w:val="0F4F4077"/>
    <w:rsid w:val="0F5B49B1"/>
    <w:rsid w:val="0F60682C"/>
    <w:rsid w:val="0F6251C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431B36"/>
    <w:rsid w:val="10472EC0"/>
    <w:rsid w:val="104A023B"/>
    <w:rsid w:val="10505F3B"/>
    <w:rsid w:val="10547810"/>
    <w:rsid w:val="105A6448"/>
    <w:rsid w:val="106D2686"/>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C5DAD"/>
    <w:rsid w:val="120F36C3"/>
    <w:rsid w:val="1210682D"/>
    <w:rsid w:val="121563D9"/>
    <w:rsid w:val="122172CE"/>
    <w:rsid w:val="1227318C"/>
    <w:rsid w:val="123A05DB"/>
    <w:rsid w:val="124240B9"/>
    <w:rsid w:val="12436A05"/>
    <w:rsid w:val="12492456"/>
    <w:rsid w:val="125A117D"/>
    <w:rsid w:val="12680E73"/>
    <w:rsid w:val="127701EE"/>
    <w:rsid w:val="127E5AA6"/>
    <w:rsid w:val="12893E38"/>
    <w:rsid w:val="128B2749"/>
    <w:rsid w:val="128D47C9"/>
    <w:rsid w:val="129811DB"/>
    <w:rsid w:val="129815F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65F3C"/>
    <w:rsid w:val="141E583B"/>
    <w:rsid w:val="1424615D"/>
    <w:rsid w:val="142C143A"/>
    <w:rsid w:val="143D75EE"/>
    <w:rsid w:val="145D452A"/>
    <w:rsid w:val="145F07C7"/>
    <w:rsid w:val="146C5189"/>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B385D"/>
    <w:rsid w:val="171E63FC"/>
    <w:rsid w:val="1722504D"/>
    <w:rsid w:val="17276DF4"/>
    <w:rsid w:val="1738730F"/>
    <w:rsid w:val="17416499"/>
    <w:rsid w:val="17481B81"/>
    <w:rsid w:val="175007ED"/>
    <w:rsid w:val="17610597"/>
    <w:rsid w:val="176B45C6"/>
    <w:rsid w:val="176C447F"/>
    <w:rsid w:val="17852314"/>
    <w:rsid w:val="17875303"/>
    <w:rsid w:val="1793626E"/>
    <w:rsid w:val="17967879"/>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2C70C8"/>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B47F33"/>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6C2914"/>
    <w:rsid w:val="20773A28"/>
    <w:rsid w:val="20814938"/>
    <w:rsid w:val="208574F4"/>
    <w:rsid w:val="208F6BAF"/>
    <w:rsid w:val="20A462BA"/>
    <w:rsid w:val="20A976E7"/>
    <w:rsid w:val="20BF2AAC"/>
    <w:rsid w:val="20C849C7"/>
    <w:rsid w:val="20DF66D2"/>
    <w:rsid w:val="20EC3F2E"/>
    <w:rsid w:val="20EC7C3E"/>
    <w:rsid w:val="21050673"/>
    <w:rsid w:val="210548E9"/>
    <w:rsid w:val="210C5DFB"/>
    <w:rsid w:val="21124D15"/>
    <w:rsid w:val="213E7119"/>
    <w:rsid w:val="21810744"/>
    <w:rsid w:val="218A484F"/>
    <w:rsid w:val="218D6EF5"/>
    <w:rsid w:val="2195668B"/>
    <w:rsid w:val="21A130EA"/>
    <w:rsid w:val="21AD1197"/>
    <w:rsid w:val="21C267BF"/>
    <w:rsid w:val="21CB70A9"/>
    <w:rsid w:val="21CD6BCD"/>
    <w:rsid w:val="21CE6067"/>
    <w:rsid w:val="21CF439A"/>
    <w:rsid w:val="21D35770"/>
    <w:rsid w:val="21E0156F"/>
    <w:rsid w:val="21F00127"/>
    <w:rsid w:val="22045B97"/>
    <w:rsid w:val="22084E76"/>
    <w:rsid w:val="22120B8F"/>
    <w:rsid w:val="221D2FA3"/>
    <w:rsid w:val="22247705"/>
    <w:rsid w:val="2226635F"/>
    <w:rsid w:val="222D4F0B"/>
    <w:rsid w:val="223D7545"/>
    <w:rsid w:val="22411D14"/>
    <w:rsid w:val="22423BE1"/>
    <w:rsid w:val="224366C4"/>
    <w:rsid w:val="22454449"/>
    <w:rsid w:val="224567F2"/>
    <w:rsid w:val="224A17FE"/>
    <w:rsid w:val="22500810"/>
    <w:rsid w:val="226347BD"/>
    <w:rsid w:val="22682935"/>
    <w:rsid w:val="226F564C"/>
    <w:rsid w:val="227541A8"/>
    <w:rsid w:val="227D465F"/>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6E1273"/>
    <w:rsid w:val="267550B9"/>
    <w:rsid w:val="26A30ADD"/>
    <w:rsid w:val="26C472EC"/>
    <w:rsid w:val="26EC491A"/>
    <w:rsid w:val="26ED73E1"/>
    <w:rsid w:val="26EF38F6"/>
    <w:rsid w:val="26F201AF"/>
    <w:rsid w:val="26F32A72"/>
    <w:rsid w:val="27047832"/>
    <w:rsid w:val="27204B5D"/>
    <w:rsid w:val="272F31A0"/>
    <w:rsid w:val="27342901"/>
    <w:rsid w:val="273D2762"/>
    <w:rsid w:val="27470B72"/>
    <w:rsid w:val="27506C46"/>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CE083F"/>
    <w:rsid w:val="28D53334"/>
    <w:rsid w:val="28E138E3"/>
    <w:rsid w:val="28E74216"/>
    <w:rsid w:val="28E87EE4"/>
    <w:rsid w:val="2903396A"/>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376119"/>
    <w:rsid w:val="2A405845"/>
    <w:rsid w:val="2A4D593F"/>
    <w:rsid w:val="2A5053C0"/>
    <w:rsid w:val="2A6E31F8"/>
    <w:rsid w:val="2A8A1A57"/>
    <w:rsid w:val="2A8A2F9C"/>
    <w:rsid w:val="2AAC5A06"/>
    <w:rsid w:val="2AB2134B"/>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D40774"/>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CE61FCE"/>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475CEF"/>
    <w:rsid w:val="2E4A6BCB"/>
    <w:rsid w:val="2E5034DC"/>
    <w:rsid w:val="2E572AB9"/>
    <w:rsid w:val="2E58199C"/>
    <w:rsid w:val="2E616039"/>
    <w:rsid w:val="2E671E59"/>
    <w:rsid w:val="2E691A32"/>
    <w:rsid w:val="2E6C0A75"/>
    <w:rsid w:val="2E7258DC"/>
    <w:rsid w:val="2E79458E"/>
    <w:rsid w:val="2E797A78"/>
    <w:rsid w:val="2E7C6A94"/>
    <w:rsid w:val="2E8321A5"/>
    <w:rsid w:val="2E880B4E"/>
    <w:rsid w:val="2E8944E5"/>
    <w:rsid w:val="2E93618F"/>
    <w:rsid w:val="2E9F6D95"/>
    <w:rsid w:val="2EAE350B"/>
    <w:rsid w:val="2EB20A6C"/>
    <w:rsid w:val="2EBC2287"/>
    <w:rsid w:val="2ECA3116"/>
    <w:rsid w:val="2ED14E35"/>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9B2BE5"/>
    <w:rsid w:val="32A230DB"/>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D25824"/>
    <w:rsid w:val="36D51D00"/>
    <w:rsid w:val="36D66B5E"/>
    <w:rsid w:val="36E93760"/>
    <w:rsid w:val="36FB4305"/>
    <w:rsid w:val="37034B58"/>
    <w:rsid w:val="37050325"/>
    <w:rsid w:val="37050E29"/>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804A3"/>
    <w:rsid w:val="3B784040"/>
    <w:rsid w:val="3B8010C0"/>
    <w:rsid w:val="3B8E2153"/>
    <w:rsid w:val="3BA03B83"/>
    <w:rsid w:val="3BA073BF"/>
    <w:rsid w:val="3BA7366E"/>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74223"/>
    <w:rsid w:val="3CC828D0"/>
    <w:rsid w:val="3CDB5F96"/>
    <w:rsid w:val="3CE23F49"/>
    <w:rsid w:val="3CEC39B8"/>
    <w:rsid w:val="3CF720E3"/>
    <w:rsid w:val="3CF72D6A"/>
    <w:rsid w:val="3CF86634"/>
    <w:rsid w:val="3CF86D06"/>
    <w:rsid w:val="3D00620E"/>
    <w:rsid w:val="3D035226"/>
    <w:rsid w:val="3D094D61"/>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D023C"/>
    <w:rsid w:val="3E1D4B24"/>
    <w:rsid w:val="3E27728E"/>
    <w:rsid w:val="3E3A04FA"/>
    <w:rsid w:val="3E3D6B96"/>
    <w:rsid w:val="3E441C7D"/>
    <w:rsid w:val="3E490256"/>
    <w:rsid w:val="3E55739E"/>
    <w:rsid w:val="3E5C0A57"/>
    <w:rsid w:val="3E6C43C8"/>
    <w:rsid w:val="3E8227F0"/>
    <w:rsid w:val="3E9B4B40"/>
    <w:rsid w:val="3EB71AC8"/>
    <w:rsid w:val="3EBA0023"/>
    <w:rsid w:val="3EBC1199"/>
    <w:rsid w:val="3EC33E74"/>
    <w:rsid w:val="3EC85E34"/>
    <w:rsid w:val="3ED0424C"/>
    <w:rsid w:val="3ED824B1"/>
    <w:rsid w:val="3EF104F0"/>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9817E9"/>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44E73"/>
    <w:rsid w:val="4227435A"/>
    <w:rsid w:val="42303B60"/>
    <w:rsid w:val="42335C97"/>
    <w:rsid w:val="423458DC"/>
    <w:rsid w:val="424B5824"/>
    <w:rsid w:val="426973AD"/>
    <w:rsid w:val="427A67A1"/>
    <w:rsid w:val="427E0B36"/>
    <w:rsid w:val="42874976"/>
    <w:rsid w:val="42991508"/>
    <w:rsid w:val="429D6E4B"/>
    <w:rsid w:val="42A03D98"/>
    <w:rsid w:val="42B51497"/>
    <w:rsid w:val="42B94BC1"/>
    <w:rsid w:val="42C30254"/>
    <w:rsid w:val="42C42A08"/>
    <w:rsid w:val="42D064B1"/>
    <w:rsid w:val="42DE48A3"/>
    <w:rsid w:val="42E16058"/>
    <w:rsid w:val="42E42CCB"/>
    <w:rsid w:val="42F17BF5"/>
    <w:rsid w:val="42F87EC9"/>
    <w:rsid w:val="42FA45BF"/>
    <w:rsid w:val="430E7E66"/>
    <w:rsid w:val="4332317A"/>
    <w:rsid w:val="433F6B54"/>
    <w:rsid w:val="4346543A"/>
    <w:rsid w:val="43494007"/>
    <w:rsid w:val="435B1259"/>
    <w:rsid w:val="43616BCC"/>
    <w:rsid w:val="436263D5"/>
    <w:rsid w:val="437556C4"/>
    <w:rsid w:val="4387362C"/>
    <w:rsid w:val="43874CD4"/>
    <w:rsid w:val="438E0FEA"/>
    <w:rsid w:val="439D51EA"/>
    <w:rsid w:val="43AF2D32"/>
    <w:rsid w:val="43B1534E"/>
    <w:rsid w:val="43B17048"/>
    <w:rsid w:val="43B76E4F"/>
    <w:rsid w:val="43B809EC"/>
    <w:rsid w:val="43CF0206"/>
    <w:rsid w:val="43D85D6D"/>
    <w:rsid w:val="43EC6F1F"/>
    <w:rsid w:val="43FE44BA"/>
    <w:rsid w:val="440D5045"/>
    <w:rsid w:val="44300615"/>
    <w:rsid w:val="44371929"/>
    <w:rsid w:val="443740AF"/>
    <w:rsid w:val="44480935"/>
    <w:rsid w:val="444851FA"/>
    <w:rsid w:val="445D0E03"/>
    <w:rsid w:val="445E4DEE"/>
    <w:rsid w:val="44640994"/>
    <w:rsid w:val="446456BB"/>
    <w:rsid w:val="446B0434"/>
    <w:rsid w:val="44756A66"/>
    <w:rsid w:val="447C30C1"/>
    <w:rsid w:val="447E4EBE"/>
    <w:rsid w:val="447F0CBA"/>
    <w:rsid w:val="44957F46"/>
    <w:rsid w:val="44994CF5"/>
    <w:rsid w:val="44DC46EB"/>
    <w:rsid w:val="44E95F5D"/>
    <w:rsid w:val="44F03F8F"/>
    <w:rsid w:val="44F14ECF"/>
    <w:rsid w:val="450626CE"/>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883E39"/>
    <w:rsid w:val="48AB67D3"/>
    <w:rsid w:val="48B116EA"/>
    <w:rsid w:val="48B74C7A"/>
    <w:rsid w:val="48BE32BF"/>
    <w:rsid w:val="48C354EC"/>
    <w:rsid w:val="48CB2583"/>
    <w:rsid w:val="48D429DD"/>
    <w:rsid w:val="48E01C77"/>
    <w:rsid w:val="48E22285"/>
    <w:rsid w:val="48E50D90"/>
    <w:rsid w:val="48F1583A"/>
    <w:rsid w:val="48FA15CC"/>
    <w:rsid w:val="49002A7B"/>
    <w:rsid w:val="491B63DF"/>
    <w:rsid w:val="491D63E9"/>
    <w:rsid w:val="492A068A"/>
    <w:rsid w:val="4932285C"/>
    <w:rsid w:val="493E2F78"/>
    <w:rsid w:val="4948613B"/>
    <w:rsid w:val="495217DF"/>
    <w:rsid w:val="4958367A"/>
    <w:rsid w:val="496E52F3"/>
    <w:rsid w:val="49713D54"/>
    <w:rsid w:val="49814AF9"/>
    <w:rsid w:val="498A16CD"/>
    <w:rsid w:val="49A33C27"/>
    <w:rsid w:val="49A750B5"/>
    <w:rsid w:val="49BE07DA"/>
    <w:rsid w:val="49C84AA0"/>
    <w:rsid w:val="49D7694D"/>
    <w:rsid w:val="4A0244D3"/>
    <w:rsid w:val="4A255046"/>
    <w:rsid w:val="4A28799C"/>
    <w:rsid w:val="4A2E1525"/>
    <w:rsid w:val="4A2E4DBF"/>
    <w:rsid w:val="4A5A756D"/>
    <w:rsid w:val="4A6174B0"/>
    <w:rsid w:val="4A785772"/>
    <w:rsid w:val="4A89105B"/>
    <w:rsid w:val="4AA341CC"/>
    <w:rsid w:val="4AB94963"/>
    <w:rsid w:val="4AC13295"/>
    <w:rsid w:val="4AC31003"/>
    <w:rsid w:val="4AC40F4C"/>
    <w:rsid w:val="4AC666BA"/>
    <w:rsid w:val="4AD25F33"/>
    <w:rsid w:val="4AE072CB"/>
    <w:rsid w:val="4AE1726E"/>
    <w:rsid w:val="4AE93159"/>
    <w:rsid w:val="4AF02EA1"/>
    <w:rsid w:val="4AF3575F"/>
    <w:rsid w:val="4B174032"/>
    <w:rsid w:val="4B250CF8"/>
    <w:rsid w:val="4B3E4F0D"/>
    <w:rsid w:val="4B3E7ACE"/>
    <w:rsid w:val="4B57342A"/>
    <w:rsid w:val="4B7C4100"/>
    <w:rsid w:val="4B830F9B"/>
    <w:rsid w:val="4B9B0C47"/>
    <w:rsid w:val="4B9D4011"/>
    <w:rsid w:val="4BB36BDD"/>
    <w:rsid w:val="4BC32290"/>
    <w:rsid w:val="4BCE7302"/>
    <w:rsid w:val="4BD0339A"/>
    <w:rsid w:val="4BE90D9B"/>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A1105C"/>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B2334F"/>
    <w:rsid w:val="4FE30332"/>
    <w:rsid w:val="4FE70BB4"/>
    <w:rsid w:val="4FE73C01"/>
    <w:rsid w:val="4FE87C31"/>
    <w:rsid w:val="4FFE4ABD"/>
    <w:rsid w:val="500815B6"/>
    <w:rsid w:val="500B39BC"/>
    <w:rsid w:val="5022123F"/>
    <w:rsid w:val="50265171"/>
    <w:rsid w:val="502B7315"/>
    <w:rsid w:val="50322A8C"/>
    <w:rsid w:val="503F32CF"/>
    <w:rsid w:val="5041152A"/>
    <w:rsid w:val="506728BF"/>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1D7A"/>
    <w:rsid w:val="50F83FF3"/>
    <w:rsid w:val="50F8688B"/>
    <w:rsid w:val="50FC4E36"/>
    <w:rsid w:val="5105169B"/>
    <w:rsid w:val="51062881"/>
    <w:rsid w:val="510861B3"/>
    <w:rsid w:val="510956BD"/>
    <w:rsid w:val="51230220"/>
    <w:rsid w:val="51361FFF"/>
    <w:rsid w:val="51410DB2"/>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07D"/>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3243A"/>
    <w:rsid w:val="52A45841"/>
    <w:rsid w:val="52B3363A"/>
    <w:rsid w:val="52C4202F"/>
    <w:rsid w:val="52C4763C"/>
    <w:rsid w:val="52DE691D"/>
    <w:rsid w:val="52E04D27"/>
    <w:rsid w:val="52EA4FDF"/>
    <w:rsid w:val="52ED0C96"/>
    <w:rsid w:val="53061721"/>
    <w:rsid w:val="530C0E6B"/>
    <w:rsid w:val="53123B04"/>
    <w:rsid w:val="532F77EA"/>
    <w:rsid w:val="533933AA"/>
    <w:rsid w:val="533B7F54"/>
    <w:rsid w:val="53432800"/>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E81B59"/>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CD0080"/>
    <w:rsid w:val="55D02A22"/>
    <w:rsid w:val="55D40743"/>
    <w:rsid w:val="55DD6F2A"/>
    <w:rsid w:val="55E8339E"/>
    <w:rsid w:val="55F06771"/>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6FC6DB4"/>
    <w:rsid w:val="57011F3E"/>
    <w:rsid w:val="5705646B"/>
    <w:rsid w:val="57060649"/>
    <w:rsid w:val="57124975"/>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2662AC"/>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7A1B5D"/>
    <w:rsid w:val="5987482A"/>
    <w:rsid w:val="599C49A8"/>
    <w:rsid w:val="59A36725"/>
    <w:rsid w:val="59B21BF9"/>
    <w:rsid w:val="59BB4EA3"/>
    <w:rsid w:val="59E9525B"/>
    <w:rsid w:val="59F81A2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D3328F"/>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B0F12"/>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DA262D"/>
    <w:rsid w:val="5EE153F8"/>
    <w:rsid w:val="5EED7893"/>
    <w:rsid w:val="5F0A3A61"/>
    <w:rsid w:val="5F4F1B95"/>
    <w:rsid w:val="5F683B6E"/>
    <w:rsid w:val="5F875C0C"/>
    <w:rsid w:val="5F8F0B9E"/>
    <w:rsid w:val="5F8F267A"/>
    <w:rsid w:val="5FB94C48"/>
    <w:rsid w:val="5FDC55D3"/>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E2159D"/>
    <w:rsid w:val="62E5554B"/>
    <w:rsid w:val="62F6011A"/>
    <w:rsid w:val="62FC691D"/>
    <w:rsid w:val="632170C2"/>
    <w:rsid w:val="6327422B"/>
    <w:rsid w:val="633B249F"/>
    <w:rsid w:val="6353654C"/>
    <w:rsid w:val="63552D76"/>
    <w:rsid w:val="6359778B"/>
    <w:rsid w:val="635B63E3"/>
    <w:rsid w:val="636642CA"/>
    <w:rsid w:val="638C3395"/>
    <w:rsid w:val="63A9658E"/>
    <w:rsid w:val="63BA3154"/>
    <w:rsid w:val="63CA2E8B"/>
    <w:rsid w:val="63D129FB"/>
    <w:rsid w:val="63E333C1"/>
    <w:rsid w:val="63EF1ECE"/>
    <w:rsid w:val="63F47D2A"/>
    <w:rsid w:val="63FE2D33"/>
    <w:rsid w:val="64061E50"/>
    <w:rsid w:val="64214E44"/>
    <w:rsid w:val="64264A79"/>
    <w:rsid w:val="64304E58"/>
    <w:rsid w:val="64311867"/>
    <w:rsid w:val="64371EC0"/>
    <w:rsid w:val="64391ED3"/>
    <w:rsid w:val="6445632E"/>
    <w:rsid w:val="6465249B"/>
    <w:rsid w:val="64766F57"/>
    <w:rsid w:val="64856993"/>
    <w:rsid w:val="648939AA"/>
    <w:rsid w:val="649B1AC2"/>
    <w:rsid w:val="64A7467B"/>
    <w:rsid w:val="64C86505"/>
    <w:rsid w:val="64CD3548"/>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11D6F"/>
    <w:rsid w:val="65EF204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8497D"/>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850854"/>
    <w:rsid w:val="69850877"/>
    <w:rsid w:val="698C13C5"/>
    <w:rsid w:val="69AE1F57"/>
    <w:rsid w:val="69DC6A76"/>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AF805EA"/>
    <w:rsid w:val="6B2B0EFD"/>
    <w:rsid w:val="6B2C13E4"/>
    <w:rsid w:val="6B4B0A4C"/>
    <w:rsid w:val="6B50310B"/>
    <w:rsid w:val="6B5045E2"/>
    <w:rsid w:val="6B736A2E"/>
    <w:rsid w:val="6B8170D6"/>
    <w:rsid w:val="6B884219"/>
    <w:rsid w:val="6B8E7E96"/>
    <w:rsid w:val="6B906020"/>
    <w:rsid w:val="6B90781F"/>
    <w:rsid w:val="6B974370"/>
    <w:rsid w:val="6B9C76AD"/>
    <w:rsid w:val="6BA9194F"/>
    <w:rsid w:val="6BAC41DA"/>
    <w:rsid w:val="6BE727F5"/>
    <w:rsid w:val="6BF36ABE"/>
    <w:rsid w:val="6C240DF3"/>
    <w:rsid w:val="6C2E6123"/>
    <w:rsid w:val="6C367E96"/>
    <w:rsid w:val="6C45610F"/>
    <w:rsid w:val="6C547243"/>
    <w:rsid w:val="6C59472D"/>
    <w:rsid w:val="6C5A4564"/>
    <w:rsid w:val="6C603744"/>
    <w:rsid w:val="6C637CCF"/>
    <w:rsid w:val="6C646F5A"/>
    <w:rsid w:val="6C7802EB"/>
    <w:rsid w:val="6C79488C"/>
    <w:rsid w:val="6C89456C"/>
    <w:rsid w:val="6CA20D5B"/>
    <w:rsid w:val="6CA41AC3"/>
    <w:rsid w:val="6CC14E69"/>
    <w:rsid w:val="6CD63FB3"/>
    <w:rsid w:val="6CD85ED6"/>
    <w:rsid w:val="6CDF67D9"/>
    <w:rsid w:val="6D056EA6"/>
    <w:rsid w:val="6D221E52"/>
    <w:rsid w:val="6D227835"/>
    <w:rsid w:val="6D3C6626"/>
    <w:rsid w:val="6D5D0DB5"/>
    <w:rsid w:val="6D6855B1"/>
    <w:rsid w:val="6D7B12C8"/>
    <w:rsid w:val="6D7B4AB7"/>
    <w:rsid w:val="6D7C5FAF"/>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57E91"/>
    <w:rsid w:val="6E567C9E"/>
    <w:rsid w:val="6E635028"/>
    <w:rsid w:val="6E636A71"/>
    <w:rsid w:val="6E685B0A"/>
    <w:rsid w:val="6E695F11"/>
    <w:rsid w:val="6E73404A"/>
    <w:rsid w:val="6E7355AA"/>
    <w:rsid w:val="6E920B5B"/>
    <w:rsid w:val="6E990B16"/>
    <w:rsid w:val="6EB169D3"/>
    <w:rsid w:val="6EB73361"/>
    <w:rsid w:val="6EB829B1"/>
    <w:rsid w:val="6EB978A9"/>
    <w:rsid w:val="6EBE1569"/>
    <w:rsid w:val="6ECC3A24"/>
    <w:rsid w:val="6ED3075F"/>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EF5A34"/>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0C632F"/>
    <w:rsid w:val="71151975"/>
    <w:rsid w:val="713074DB"/>
    <w:rsid w:val="71336A65"/>
    <w:rsid w:val="713B0E5B"/>
    <w:rsid w:val="71486F62"/>
    <w:rsid w:val="71511268"/>
    <w:rsid w:val="71545B37"/>
    <w:rsid w:val="71573E01"/>
    <w:rsid w:val="71702748"/>
    <w:rsid w:val="717F0007"/>
    <w:rsid w:val="71867894"/>
    <w:rsid w:val="719F7A78"/>
    <w:rsid w:val="71C7540C"/>
    <w:rsid w:val="71D90F07"/>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E42AFA"/>
    <w:rsid w:val="72E85578"/>
    <w:rsid w:val="72EB270B"/>
    <w:rsid w:val="72EB4466"/>
    <w:rsid w:val="72FD426E"/>
    <w:rsid w:val="73004315"/>
    <w:rsid w:val="73043CFC"/>
    <w:rsid w:val="730E4470"/>
    <w:rsid w:val="73161882"/>
    <w:rsid w:val="732C334F"/>
    <w:rsid w:val="734F0C79"/>
    <w:rsid w:val="734F4185"/>
    <w:rsid w:val="73520620"/>
    <w:rsid w:val="7363274A"/>
    <w:rsid w:val="73691A4A"/>
    <w:rsid w:val="737807F3"/>
    <w:rsid w:val="738A6895"/>
    <w:rsid w:val="73AE569E"/>
    <w:rsid w:val="73B4197F"/>
    <w:rsid w:val="73BC7089"/>
    <w:rsid w:val="73BE7067"/>
    <w:rsid w:val="73D154A1"/>
    <w:rsid w:val="73E52294"/>
    <w:rsid w:val="73FF2D64"/>
    <w:rsid w:val="74137154"/>
    <w:rsid w:val="741C167C"/>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746394"/>
    <w:rsid w:val="75752B04"/>
    <w:rsid w:val="75783839"/>
    <w:rsid w:val="758910BB"/>
    <w:rsid w:val="759558DF"/>
    <w:rsid w:val="75955DA9"/>
    <w:rsid w:val="75977910"/>
    <w:rsid w:val="759F2A35"/>
    <w:rsid w:val="75B15C41"/>
    <w:rsid w:val="75CD3EFF"/>
    <w:rsid w:val="75D12923"/>
    <w:rsid w:val="75D93536"/>
    <w:rsid w:val="75EA364B"/>
    <w:rsid w:val="75EA65B3"/>
    <w:rsid w:val="75F20996"/>
    <w:rsid w:val="75F96973"/>
    <w:rsid w:val="76123E1D"/>
    <w:rsid w:val="762A17C0"/>
    <w:rsid w:val="76425118"/>
    <w:rsid w:val="764838B9"/>
    <w:rsid w:val="764B15DA"/>
    <w:rsid w:val="764C09B4"/>
    <w:rsid w:val="764F5A52"/>
    <w:rsid w:val="764F6981"/>
    <w:rsid w:val="766A4A0D"/>
    <w:rsid w:val="766C517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5D4CA8"/>
    <w:rsid w:val="7964574A"/>
    <w:rsid w:val="796E5035"/>
    <w:rsid w:val="79941CF2"/>
    <w:rsid w:val="79973382"/>
    <w:rsid w:val="79D33056"/>
    <w:rsid w:val="79D82BB5"/>
    <w:rsid w:val="79EC0256"/>
    <w:rsid w:val="79F60153"/>
    <w:rsid w:val="79FB6E2C"/>
    <w:rsid w:val="7A000A00"/>
    <w:rsid w:val="7A0C4750"/>
    <w:rsid w:val="7A350A2E"/>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50C51"/>
    <w:rsid w:val="7DBE1B45"/>
    <w:rsid w:val="7DBF32E6"/>
    <w:rsid w:val="7DC03698"/>
    <w:rsid w:val="7DCD4EB5"/>
    <w:rsid w:val="7E090313"/>
    <w:rsid w:val="7E3E0FEC"/>
    <w:rsid w:val="7E3E1EF2"/>
    <w:rsid w:val="7E5C1ABA"/>
    <w:rsid w:val="7E62165E"/>
    <w:rsid w:val="7E622778"/>
    <w:rsid w:val="7E756346"/>
    <w:rsid w:val="7E7B70FE"/>
    <w:rsid w:val="7E85174A"/>
    <w:rsid w:val="7EA34C53"/>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7</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2024-10-07T12:48:03Z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